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 xml:space="preserve">ПОДКОМИТЕТ ПО ФОРМИРОВАНИЮ И РАЗВИТИЮ 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 xml:space="preserve">КАДРОВОГО ПОТЕНЦИАЛА В ОБЛАСТИ 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УПРАВЛЕНИЯ  ИНТЕЛЛЕКТУАЛЬНОЙ  СОБСТВЕННОСТЬЮ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Б.М. АСФАНДИАРОВ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ИНТЕЛЛЕКТУАЛЬНАЯ СОБСТВЕННОСТЬ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В РОССИЙСКОЙ ФЕДЕРАЦИИ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Особенности правового регулирования создания,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 xml:space="preserve"> использования и защиты интеллектуальной собственности </w:t>
      </w:r>
    </w:p>
    <w:p w:rsidR="0094218E" w:rsidRPr="0094218E" w:rsidRDefault="0094218E" w:rsidP="0094218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в области образования, культуры, искусств</w:t>
      </w:r>
    </w:p>
    <w:p w:rsid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в Российской Федерации</w:t>
      </w:r>
    </w:p>
    <w:p w:rsid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ФРАГМЕНТ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УЧЕБНО - МЕТОДИЧЕСКОГО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ПОСОБИЯ</w:t>
      </w:r>
    </w:p>
    <w:p w:rsid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2012</w:t>
      </w:r>
    </w:p>
    <w:p w:rsid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P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8. Проблемы коммерциализации интеллектуальной собственности</w:t>
      </w:r>
    </w:p>
    <w:p w:rsidR="0094218E" w:rsidRP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в сфере культуры и искусств</w:t>
      </w:r>
    </w:p>
    <w:p w:rsidR="0094218E" w:rsidRPr="0094218E" w:rsidRDefault="0094218E" w:rsidP="0094218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4218E" w:rsidRPr="0094218E" w:rsidRDefault="0094218E" w:rsidP="0094218E">
      <w:pPr>
        <w:pStyle w:val="a3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8.11.Право на вознаграждение за использование результата             интеллектуальной деятельности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Доктрина права интеллектуальной собственности изначально состояла в том, чтобы обеспечить автору результата творческой деятельности вознаграждение за использование обществом этого результата. Содержание этого права весьма обширно. По продолжительности это право в случае авторского права действует в течение жизни автора и 70 лет после смерти автора. По кругу лиц это право распространяется на наследников и иных лиц, к которым это право  перешло по договору или по закону. По способам использования это право распространяется на любое использование произведения. Даже в случае единичного использования в личных целях («домашнее копирование») вознаграждение выплачивается авторам согласно ст. 1245 ГК РФ за счет средств, которые подлежат уплате изготовителями и импортерами оборудования и материальных носителей, используемых для такого воспроизведения. В настоящее время эти средства образуются за счет сбора надбавки в 1% к цене оборудования и материальных носителей, что по оценке Российского союза правообладателей составит  до $200 </w:t>
      </w:r>
      <w:proofErr w:type="spellStart"/>
      <w:proofErr w:type="gramStart"/>
      <w:r w:rsidRPr="0094218E">
        <w:rPr>
          <w:rFonts w:ascii="Courier New" w:hAnsi="Courier New" w:cs="Courier New"/>
          <w:sz w:val="24"/>
          <w:szCs w:val="24"/>
        </w:rPr>
        <w:t>млн</w:t>
      </w:r>
      <w:proofErr w:type="spellEnd"/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в год.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Согласно этой же статье собранное вознаграждение распределяется между правообладателями в следующей пропорции:  авторам – 40 %, исполнителям и изготовителям фонограмм или аудиовизуальных  произведений – по 30 %. Таким образом, около 80 млн. долларов США причитаются нашим авторам только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за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свободное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lastRenderedPageBreak/>
        <w:t>использование их произведений в личных целях, а ведь еще им полагается вознаграждение за публичное исполнение произведений в кафе, ресторанах, магазинах,  а также сообщение в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эфир или по кабелю фонограмм, опубликованных в коммерческих целях и т.д.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>Различные аккредитованные организации по коллективному управлению имущественными правами уже заключает договоры с вещательными организациями, развлекательными центрами, гостиницами, ресторанами, магазинами и другими пользователями. Ставки сборов составляют от 500 руб. в месяц для магазинов и торговых центров площадью менее 101 кв. м до 6,3 тыс. руб. за площадь 2,5 тыс. кв. м в месяц (плюс 1 руб. за каждый дополнительный 1 кв. м). Тел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е-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радиовещатели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платят от 0,1% до 2% рекламной выручки (в зависимости от размера дохода и объема музыкального вещания). Сборы только одной аккредитованной организации по коллективному управлению имущественными правами  в 2009 году составили 520 </w:t>
      </w:r>
      <w:proofErr w:type="spellStart"/>
      <w:proofErr w:type="gramStart"/>
      <w:r w:rsidRPr="0094218E">
        <w:rPr>
          <w:rFonts w:ascii="Courier New" w:hAnsi="Courier New" w:cs="Courier New"/>
          <w:sz w:val="24"/>
          <w:szCs w:val="24"/>
        </w:rPr>
        <w:t>млн</w:t>
      </w:r>
      <w:proofErr w:type="spellEnd"/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руб., из которых 223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млн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руб. (42,9%) пошли на вознаграждения исполнителями и изготовителями фонограмм в том же году. Потенциальный размер сборов в 2010 году оценивается в 1,5 млрд.  руб. Исходя из представленных данных, остается только пожелать деятелям культуры и искусств успехов в своевременном получении и расходовании причитающихся им сумм авторского вознаграждения!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>Следует отметить, что  аккредитованные организации по коллективному управлению имущественными правами весьма настойчивы и даже крайне несговорчивы в вопросах сбора авторского вознаграждения за использование произведения.</w:t>
      </w:r>
    </w:p>
    <w:p w:rsidR="0094218E" w:rsidRPr="0094218E" w:rsidRDefault="0094218E" w:rsidP="0094218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94218E">
        <w:rPr>
          <w:rFonts w:ascii="Courier New" w:hAnsi="Courier New" w:cs="Courier New"/>
          <w:sz w:val="24"/>
          <w:szCs w:val="24"/>
        </w:rPr>
        <w:t xml:space="preserve">Так, например, в сентябре 2010 г. обувной магазин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Carnaby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в "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Меге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Теплый Стан" решением  мирового судьи 12-го судебного участка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Видновского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судебного района Московской области был оштрафован в размере 30 тысяч рублей за отсутствие договора со сборщиком таких отчислений — Всероссийской организацией интеллектуальной собственности (ВОИС) по статье 7.12 Кодекса об административных правонарушениях (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КоАП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>).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По решению суда были  конфискованы DVD-плеер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Sony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, на котором воспроизводилась музыка, компакт-диск с надписью TJ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Collection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и три компакт-диска с надписью "Саня". Суд решил, что в магазине незаконно играла музыка — компания не делала отчислений в пользу исполнителей и изготовителей фонограмм.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>В ходе судебного разбирательства  Ответчик  свою вину не признал по следующим основаниям. Ранее им был  заключен прямой лицензионный договор с Н. В. Анохиным,  автором музыкальных произведений, звучавших в магазине. В суде были представлены материалы, согласно которым в реестре правообладателей Российского авторского общества (РАО) композитор Н. В. Анохин зарегистрирован как соавтор песен "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Африканочка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", "Бутово" и др. Также  были представлены и копии платежных поручений, согласно </w:t>
      </w:r>
      <w:r w:rsidRPr="0094218E">
        <w:rPr>
          <w:rFonts w:ascii="Courier New" w:hAnsi="Courier New" w:cs="Courier New"/>
          <w:sz w:val="24"/>
          <w:szCs w:val="24"/>
        </w:rPr>
        <w:lastRenderedPageBreak/>
        <w:t xml:space="preserve">которым автор действительно получал причитавшиеся ему деньги. При этом судья не внял доводу Ответчика о том, что магазин извлекал прибыль не от воспроизведения музыки, а от продажи обуви и аксессуаров. 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Поскольку по смыслу положений пункта 5 статьи 1229 ГК РФ право на вознаграждение входит в состав исключительного права, это право переходит после смерти автора к его наследникам, для которых вопрос о реализации  прав на авторское вознаграждение может стать очередным труднопреодолимым препятствием. Причина такого явления банальна – как правило, это нежелание авторов и исполнителей выполнять требуемые законодательством формальности по оформлению прав на результаты своей творческой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деятельности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как при создании таких результатов, так и при передаче прав на использование этих результатов. Содержательно такие формальности рутинны и не вызывают трудности при их выполнении. Чтобы убедиться в этом, достаточно изучить бланк заявления на регистрацию прав интеллектуальной собственности, представленный в Приложении 1.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Для подачи заявки на регистрацию объекта интеллектуальной собственности по установившейся во многих странах практике необходимо к заявлению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приложить экземпляр произведения и получить по истечении установленного срока сертификат о регистрации (Приложение 3). В дальнейшем все действия по передаче прав на использование результата творческой деятельности нужно оформлять соответствующими лицензионными договорами и организовать хранение подлинников договоров – и реализация права наследников на получение авторского вознаграждения обеспечивается на основании заключенных договоров. Однако реальная практика свидетельствует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о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другом.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Так, например, в 2006 г. Пресненский районный суд отказал  вдове  дирижера Евгения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Светланова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Нине Николаевой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в праве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распоряжаться наследием покойного мужа. 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Выдающийся композитор, пианист и дирижер Евгений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Светланов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оставил богатое творческое наследство – сотни часов аудиозаписей классической музыки. Большинство из них было сделано маэстро в период с 1960 по 1990 год на крупнейшей студии грамзаписи - "Мелодия", которая  является одним из лидеров на музыкальном рынке звукозаписи и к тому же хранителем архива фонограмм.</w:t>
      </w:r>
    </w:p>
    <w:p w:rsidR="0094218E" w:rsidRPr="0094218E" w:rsidRDefault="0094218E" w:rsidP="0094218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 w:rsidRPr="0094218E">
        <w:rPr>
          <w:rFonts w:ascii="Courier New" w:hAnsi="Courier New" w:cs="Courier New"/>
          <w:sz w:val="24"/>
          <w:szCs w:val="24"/>
        </w:rPr>
        <w:t>Как сообщалось в СМИ, в 2004 г. Нина Николаева получила предложение от руководств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а«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>Мелодии» выпустить партию MP3-дисков с записями ее мужа, включая  "Антологию русской музыки". Вдова дирижера  отказалась от предложения, поскольку готовилась подписать контракт с одной из западных компаний  на более выгодных условиях.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Фирма "Мелодия" не стала менять своих планов в связи с отказом Николаевой Н. и выдала разрешение на изготовление дисков двум фирмам - ООО «РМГ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Рекордс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»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и ООО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«РМГ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Компани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». На обложках </w:t>
      </w:r>
      <w:r w:rsidRPr="0094218E">
        <w:rPr>
          <w:rFonts w:ascii="Courier New" w:hAnsi="Courier New" w:cs="Courier New"/>
          <w:sz w:val="24"/>
          <w:szCs w:val="24"/>
        </w:rPr>
        <w:lastRenderedPageBreak/>
        <w:t xml:space="preserve">тиража было указано, что разрешение на воспроизведение записей выдано ФГУП «Мелодия», а правообладателями смежных прав являются указанные фирмы. Николаева Н. обратилась в суд за защитой нарушенных прав, потребовав в качестве компенсации 600 тысяч рублей. По мнению Истицы,  ФГУП "Фирма "Мелодия"  самовольно, без разрешения правообладателя  использовала записи музыкальных произведений, исполняемых разными оркестрами под руководством дирижера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Светланова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. По выданным ФГУП лицензиям были выпущены большим тиражом компакт-диски с работами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Светланова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, в то время как законная наследница музыканта ничего об этом не знала. Ответчик ФГУП «Мелодия» пояснил суду, что поскольку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Светланов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работал на студии,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права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на его фонограммы принадлежат фирме "Мелодия". Ответчик утверждал также, 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Светланов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обладал правами только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на те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произведения, которые записывал за свой счет. Суд отказал в удовлетворении исковых требований Николаевой Н.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Это судебное дело интересно тем, что в аналогичном  споре  с ФГУП «Мелодия»  Измайловский суд  встал на сторону известного актера Олега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Табакова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>. Исковое заявление было подано по следующим обстоятельствам.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В 1971 г. фирма «Мелодия» записала  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аудиоспектакль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 "Приключения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Гекльберри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Финна",  в котором Табаков был режиссером-постановщиком и играл одну из ролей.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В дальнейшем с разрешения фирмы «Мелодия» в продаже появились кассеты с записью спектакля, хотя ни Табаков, ни другие артисты не давали разрешения на тиражирование и не  получали авторского вознаграждения. Ответчик фирма "Мелодия", как и в случае со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Светлановым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, утверждала, что спектакль записывался давно и на него не распространяется действие  закона «Об авторском праве и смежных правах», принятого в 1993 г. не попадает. Однако Измайловский суд  потребовал показать договор, заключенный с артистом. Поскольку договор не заключался, суд обязал ответчика выплатить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Табакову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100 тысяч рублей в качестве компенсации за нарушение прав исполнителя.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В 2012 г. СМИ сообщили о том, судебное разбирательство ожидает популярного российского певца Филиппа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Киркорова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, которого болгарские композиторы обвинили в плагиате и подали на него в суд. Композиторы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Александар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Савелиев,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Димитар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Пенев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, Иван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Пеев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и Найден Андреев подали заявление в Софийскую районную прокуратуру. Они утверждают, что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Ф.Киркоров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присвоил себе музыку, но изменил текст в этих песнях, а теперь без разрешения исполняет и продает их как свои творения и при этом не выплачивает гонорар. Композиторы сообщили, что несколько раз пытались договориться с российским певцом, не доводя дело до суда, однако тот отказывался идти им навстречу. 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lastRenderedPageBreak/>
        <w:t xml:space="preserve">Согласно болгарским законам, за нарушение авторских прав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Ф.Киркорову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может грозить от двух до восьми лет лишения свободы и штраф свыше 25 тыс. евро.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>Эти примеры демонстрируют наглядно необходимость профессиональной квалифицированной  защиты прав авторов, исполнителей и других законных правообладателей в вопросах использования результатов творческой деятельности, в том числе в праве на вознаграждение.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>Необходимо создание организаций по коллективному управлению имущественными правами творческих деятелей в области культуры и искусств, которые внимательно, профессионально и что важно, заботливо, решали бы все вопросы коммерциализации результатов творческой деятельности</w:t>
      </w:r>
    </w:p>
    <w:p w:rsidR="0094218E" w:rsidRPr="0094218E" w:rsidRDefault="0094218E" w:rsidP="0094218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4218E" w:rsidRP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4218E">
        <w:rPr>
          <w:rFonts w:ascii="Courier New" w:hAnsi="Courier New" w:cs="Courier New"/>
          <w:b/>
          <w:sz w:val="24"/>
          <w:szCs w:val="24"/>
        </w:rPr>
        <w:t>8.2. Другие права в области культуры и искусств</w:t>
      </w:r>
    </w:p>
    <w:p w:rsidR="0094218E" w:rsidRPr="0094218E" w:rsidRDefault="0094218E" w:rsidP="0094218E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Сложность и разнообразие прав на результаты творческой деятельности предъявляют все более сложные требования к соблюдению этих прав именно в области культуры и искусств. 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94218E">
        <w:rPr>
          <w:rFonts w:ascii="Courier New" w:hAnsi="Courier New" w:cs="Courier New"/>
          <w:sz w:val="24"/>
          <w:szCs w:val="24"/>
        </w:rPr>
        <w:t xml:space="preserve">Так, например, на зимней Олимпиаде в Ванкувере в 2010 г.  чемпионы мира в танцах на льду Оксана Домнина и Максим Шабалин получили предупреждение о судебном преследовании от британской певицы индийского происхождения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Шейлы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Чандры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, которая обвинила российских спортсменов в нарушении авторских прав за якобы незаконное использование ее музыкального произведения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Speaking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in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Tongues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II.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Как сообщали СМИ, соответствующее официальное письмо от адвокатов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Чандры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было направлено в Федерацию фигурного катания на коньках России (ФККР) незадолго до старта зимней Олимпиады в Ванкувере.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Творчество российских спортсменов неожиданно вызвало интерес со стороны австралийских аборигенов в связи с тем, что танцевальная пара в 2010 г. представила новую программу под названием "Танцы аборигенов". Фигуристы вышли на лед в необычных костюмах, символизирующих рисунки на теле коренных австралийцев. В результате представители коренной национальности Зеленого континента обвинили чемпионов мира и Европы в танцах на льду в оскорблении их национальной идеи и плагиате. Как сообщили СМИ, консул колонии аборигенов штата Новый Южный Уэльс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Сол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Беллира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выразил свое возмущение следующим образом: "Это просто оскорбительно! Мы расцениваем это как воровство культуры аборигенов, как еще один пример эксплуатации коренного населения Австралии. Идея танца украдена, ее взяли без нашего разрешения и без консультаций с соответствующими танцевальными группами аборигенов". Следует отметить, что представители коренного населения Африки, Америки и Австралии неоднократно высказывались </w:t>
      </w:r>
      <w:r w:rsidRPr="0094218E">
        <w:rPr>
          <w:rFonts w:ascii="Courier New" w:hAnsi="Courier New" w:cs="Courier New"/>
          <w:sz w:val="24"/>
          <w:szCs w:val="24"/>
        </w:rPr>
        <w:lastRenderedPageBreak/>
        <w:t>за признание за ними исключительного права на явления их культуры, быта и т.д.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Много споров возникает в связи с использованием изображений деятелей культуры и искусств в рекламных и иных коммерческих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целях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.В</w:t>
      </w:r>
      <w:proofErr w:type="spellEnd"/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2008 г. СМИ сообщали о том, что  американский режиссер и актер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Вуди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Аллен подал иск в манхэттенский окружной суд Нью-Йорка на компанию по производству и продаже одежды "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American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Apparel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Inc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." за незаконное использование своего образа на рекламных щитах и в интернете. В иске было заявлено, что, будучи одной из самых влиятельных фигур современного кинематографа,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Вуди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Аллен всегда жестко контролирует проекты со своим участием, и поэтому поступок "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American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Apparel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>" является "особенно вопиющим и дискредитирующим артиста"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.У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щерб, нанесенный незаконным использованием его изображения в рекламе,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Вуди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Аллен оценил по меньшей мере в 10 миллионов долларов.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На рекламных щитах, размещенных весной 2007 года в Голливуде и Нью-Йорке, использован образ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Вуди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Аллена из фильма "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Энни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Холл", где он предстает в виде еврея-хасида с длинной бородой и в черной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шляпе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.С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>ледует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отметить, что по российскому законодательству изображение гражданина является нематериальным благом и использование изображения гражданина в виде фотографии, видеоизображения или произведения изобразительного искусства согласно ст. 152.1 ГК РФ допускается только с согласия этого гражданина. После смерти гражданина его изображение может использоваться только с согласия детей и пережившего супруга. Правда, такое разрешение не требуется, если гражданин позировал за плату или изображение гражданина получено при съемке на публичных мероприятиях. В случае нарушения права гражданина на изображение он может требовать компенсации морального вреда в соответствии со ст. 12 ГК РФ. Однако в практике российских судов компенсации в размере, указанном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Вуди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Алленом в его  исковом заявлении, не встречалась.</w:t>
      </w:r>
    </w:p>
    <w:p w:rsidR="0094218E" w:rsidRPr="0094218E" w:rsidRDefault="0094218E" w:rsidP="0094218E">
      <w:pPr>
        <w:pStyle w:val="a3"/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4218E">
        <w:rPr>
          <w:rFonts w:ascii="Courier New" w:hAnsi="Courier New" w:cs="Courier New"/>
          <w:sz w:val="24"/>
          <w:szCs w:val="24"/>
        </w:rPr>
        <w:t xml:space="preserve">В последнее время началось судебное преследование сайтов – продавцов </w:t>
      </w:r>
      <w:proofErr w:type="spellStart"/>
      <w:r w:rsidRPr="0094218E">
        <w:rPr>
          <w:rFonts w:ascii="Courier New" w:hAnsi="Courier New" w:cs="Courier New"/>
          <w:sz w:val="24"/>
          <w:szCs w:val="24"/>
        </w:rPr>
        <w:t>аудиофайлов</w:t>
      </w:r>
      <w:proofErr w:type="spellEnd"/>
      <w:r w:rsidRPr="0094218E">
        <w:rPr>
          <w:rFonts w:ascii="Courier New" w:hAnsi="Courier New" w:cs="Courier New"/>
          <w:sz w:val="24"/>
          <w:szCs w:val="24"/>
        </w:rPr>
        <w:t xml:space="preserve"> - крупнейшими американскими звукозаписывающими компаниями за торговлю музыкальными файлами без разрешения их правообладателей.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(Например, судебное дело против портала AllofMP3.com, зарегистрированного в России.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94218E">
        <w:rPr>
          <w:rFonts w:ascii="Courier New" w:hAnsi="Courier New" w:cs="Courier New"/>
          <w:sz w:val="24"/>
          <w:szCs w:val="24"/>
        </w:rPr>
        <w:t>Истцы требуют взыскать с продавцов 1,65 трлн. долларов).</w:t>
      </w:r>
      <w:proofErr w:type="gramEnd"/>
      <w:r w:rsidRPr="0094218E">
        <w:rPr>
          <w:rFonts w:ascii="Courier New" w:hAnsi="Courier New" w:cs="Courier New"/>
          <w:sz w:val="24"/>
          <w:szCs w:val="24"/>
        </w:rPr>
        <w:t xml:space="preserve"> Таковы некоторые вопросы в области охраны и защиты интеллектуальной собственности, с которыми приходится сталкиваться в области культуры и искусства.</w:t>
      </w:r>
    </w:p>
    <w:p w:rsidR="0094218E" w:rsidRDefault="0094218E">
      <w:pPr>
        <w:pStyle w:val="a4"/>
      </w:pPr>
      <w:r w:rsidRPr="0094218E">
        <w:rPr>
          <w:rFonts w:ascii="Courier New" w:hAnsi="Courier New" w:cs="Courier New"/>
          <w:sz w:val="24"/>
          <w:szCs w:val="24"/>
        </w:rPr>
        <w:tab/>
      </w:r>
    </w:p>
    <w:p w:rsidR="0094218E" w:rsidRPr="0094218E" w:rsidRDefault="0094218E" w:rsidP="0094218E">
      <w:pPr>
        <w:pStyle w:val="a3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94218E">
        <w:rPr>
          <w:rFonts w:ascii="Courier New" w:hAnsi="Courier New" w:cs="Courier New"/>
          <w:b/>
          <w:sz w:val="20"/>
          <w:szCs w:val="20"/>
        </w:rPr>
        <w:t>Асфандиаров Булат Маратович</w:t>
      </w:r>
      <w:r w:rsidRPr="0094218E">
        <w:rPr>
          <w:rFonts w:ascii="Courier New" w:hAnsi="Courier New" w:cs="Courier New"/>
          <w:sz w:val="20"/>
          <w:szCs w:val="20"/>
        </w:rPr>
        <w:t xml:space="preserve"> - Профессор Кафедры государственного и гражданского права ФГБОУ ВПО «Московский государственный университет культуры и искусств», </w:t>
      </w:r>
      <w:proofErr w:type="spellStart"/>
      <w:r w:rsidRPr="0094218E">
        <w:rPr>
          <w:rFonts w:ascii="Courier New" w:hAnsi="Courier New" w:cs="Courier New"/>
          <w:sz w:val="20"/>
          <w:szCs w:val="20"/>
        </w:rPr>
        <w:t>к.ю.н</w:t>
      </w:r>
      <w:proofErr w:type="spellEnd"/>
      <w:r w:rsidRPr="0094218E">
        <w:rPr>
          <w:rFonts w:ascii="Courier New" w:hAnsi="Courier New" w:cs="Courier New"/>
          <w:sz w:val="20"/>
          <w:szCs w:val="20"/>
        </w:rPr>
        <w:t xml:space="preserve">., генеральный директор Международного Центра сертификации результатов интеллектуальной деятельности, </w:t>
      </w:r>
      <w:proofErr w:type="gramStart"/>
      <w:r w:rsidRPr="0094218E">
        <w:rPr>
          <w:rFonts w:ascii="Courier New" w:hAnsi="Courier New" w:cs="Courier New"/>
          <w:sz w:val="20"/>
          <w:szCs w:val="20"/>
        </w:rPr>
        <w:t>г</w:t>
      </w:r>
      <w:proofErr w:type="gramEnd"/>
      <w:r w:rsidRPr="0094218E">
        <w:rPr>
          <w:rFonts w:ascii="Courier New" w:hAnsi="Courier New" w:cs="Courier New"/>
          <w:sz w:val="20"/>
          <w:szCs w:val="20"/>
        </w:rPr>
        <w:t>. Москва</w:t>
      </w:r>
    </w:p>
    <w:sectPr w:rsidR="0094218E" w:rsidRPr="0094218E" w:rsidSect="00F04F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62" w:rsidRDefault="00246F62" w:rsidP="0094218E">
      <w:pPr>
        <w:spacing w:after="0" w:line="240" w:lineRule="auto"/>
      </w:pPr>
      <w:r>
        <w:separator/>
      </w:r>
    </w:p>
  </w:endnote>
  <w:endnote w:type="continuationSeparator" w:id="0">
    <w:p w:rsidR="00246F62" w:rsidRDefault="00246F62" w:rsidP="0094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62" w:rsidRDefault="00246F62" w:rsidP="0094218E">
      <w:pPr>
        <w:spacing w:after="0" w:line="240" w:lineRule="auto"/>
      </w:pPr>
      <w:r>
        <w:separator/>
      </w:r>
    </w:p>
  </w:footnote>
  <w:footnote w:type="continuationSeparator" w:id="0">
    <w:p w:rsidR="00246F62" w:rsidRDefault="00246F62" w:rsidP="0094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7108"/>
      <w:docPartObj>
        <w:docPartGallery w:val="Page Numbers (Top of Page)"/>
        <w:docPartUnique/>
      </w:docPartObj>
    </w:sdtPr>
    <w:sdtContent>
      <w:p w:rsidR="0094218E" w:rsidRDefault="0094218E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4218E" w:rsidRDefault="0094218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8E"/>
    <w:rsid w:val="00246F62"/>
    <w:rsid w:val="0094218E"/>
    <w:rsid w:val="00F0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8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4218E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5">
    <w:name w:val="Нижний колонтитул Знак"/>
    <w:basedOn w:val="a0"/>
    <w:link w:val="a4"/>
    <w:uiPriority w:val="99"/>
    <w:rsid w:val="0094218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4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1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3206"/>
    <w:rsid w:val="00013206"/>
    <w:rsid w:val="00C4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67E50F0C164BD7AFCEB026F357B635">
    <w:name w:val="5667E50F0C164BD7AFCEB026F357B635"/>
    <w:rsid w:val="000132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E043D0-277B-4294-A0E8-2F23AD3C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2242</Words>
  <Characters>12783</Characters>
  <Application>Microsoft Office Word</Application>
  <DocSecurity>0</DocSecurity>
  <Lines>106</Lines>
  <Paragraphs>29</Paragraphs>
  <ScaleCrop>false</ScaleCrop>
  <Company>Grizli777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</cp:revision>
  <dcterms:created xsi:type="dcterms:W3CDTF">2012-05-29T04:43:00Z</dcterms:created>
  <dcterms:modified xsi:type="dcterms:W3CDTF">2012-05-29T04:51:00Z</dcterms:modified>
</cp:coreProperties>
</file>